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D6" w:rsidRDefault="00476819">
      <w:pPr>
        <w:jc w:val="both"/>
        <w:rPr>
          <w:rFonts w:ascii="Arial" w:hAnsi="Arial" w:cs="Arial"/>
          <w:b w:val="0"/>
          <w:bCs/>
          <w:color w:val="auto"/>
          <w:sz w:val="24"/>
        </w:rPr>
      </w:pPr>
      <w:r>
        <w:rPr>
          <w:rFonts w:ascii="Arial" w:hAnsi="Arial" w:cs="Arial"/>
          <w:b w:val="0"/>
          <w:bCs/>
          <w:color w:val="auto"/>
          <w:sz w:val="24"/>
        </w:rPr>
        <w:t>Vážení rodiče,</w:t>
      </w:r>
    </w:p>
    <w:p w:rsidR="00520FD6" w:rsidRDefault="00520FD6">
      <w:pPr>
        <w:jc w:val="both"/>
        <w:rPr>
          <w:rFonts w:ascii="Arial" w:hAnsi="Arial" w:cs="Arial"/>
          <w:b w:val="0"/>
          <w:bCs/>
          <w:color w:val="auto"/>
          <w:sz w:val="24"/>
        </w:rPr>
      </w:pPr>
    </w:p>
    <w:p w:rsidR="00520FD6" w:rsidRDefault="00476819">
      <w:pPr>
        <w:jc w:val="both"/>
        <w:rPr>
          <w:rFonts w:ascii="Arial" w:hAnsi="Arial" w:cs="Arial"/>
          <w:b w:val="0"/>
          <w:bCs/>
          <w:color w:val="auto"/>
          <w:sz w:val="24"/>
        </w:rPr>
      </w:pPr>
      <w:r>
        <w:rPr>
          <w:rFonts w:ascii="Arial" w:hAnsi="Arial" w:cs="Arial"/>
          <w:b w:val="0"/>
          <w:bCs/>
          <w:color w:val="auto"/>
          <w:sz w:val="24"/>
        </w:rPr>
        <w:t>množí se dotazy, jakým způsobem jsou zařazováni strávníci do věkových skupin ve školní jídelně. Jak je například možné, že strávník, kterému je ve školním roce 14 let, platí stejnou částku jako žák, kterému je 15 let.</w:t>
      </w:r>
    </w:p>
    <w:p w:rsidR="00520FD6" w:rsidRDefault="00520FD6">
      <w:pPr>
        <w:jc w:val="both"/>
        <w:rPr>
          <w:rFonts w:ascii="Arial" w:hAnsi="Arial" w:cs="Arial"/>
          <w:b w:val="0"/>
          <w:bCs/>
          <w:color w:val="auto"/>
          <w:sz w:val="24"/>
        </w:rPr>
      </w:pPr>
    </w:p>
    <w:p w:rsidR="00520FD6" w:rsidRDefault="00476819">
      <w:pPr>
        <w:pStyle w:val="Nadpis1"/>
        <w:jc w:val="both"/>
      </w:pPr>
      <w:r>
        <w:t>Věk strávníka a skupina strávníka</w:t>
      </w:r>
    </w:p>
    <w:p w:rsidR="00520FD6" w:rsidRDefault="00476819">
      <w:pPr>
        <w:jc w:val="both"/>
        <w:rPr>
          <w:rFonts w:ascii="Arial" w:hAnsi="Arial" w:cs="Arial"/>
          <w:b w:val="0"/>
          <w:bCs/>
          <w:color w:val="auto"/>
          <w:sz w:val="24"/>
        </w:rPr>
      </w:pPr>
      <w:r>
        <w:rPr>
          <w:rFonts w:ascii="Arial" w:hAnsi="Arial" w:cs="Arial"/>
          <w:b w:val="0"/>
          <w:bCs/>
          <w:color w:val="auto"/>
          <w:sz w:val="24"/>
        </w:rPr>
        <w:t xml:space="preserve">Zařazování dětí do cenových kategorií se řídí vyhláškou </w:t>
      </w:r>
      <w:r>
        <w:rPr>
          <w:rFonts w:ascii="Arial" w:hAnsi="Arial" w:cs="Arial"/>
          <w:color w:val="auto"/>
          <w:sz w:val="24"/>
        </w:rPr>
        <w:t>107/2005 sb. Ze dne 25. února 2005 o školním stravování, Změna: 107/2008 sb., příloha 2 Finanční limity na nákup potravin v Kč/den/strávník.</w:t>
      </w:r>
    </w:p>
    <w:p w:rsidR="00520FD6" w:rsidRDefault="00520FD6">
      <w:pPr>
        <w:jc w:val="both"/>
        <w:rPr>
          <w:rFonts w:ascii="Arial" w:hAnsi="Arial" w:cs="Arial"/>
          <w:b w:val="0"/>
          <w:bCs/>
          <w:color w:val="auto"/>
          <w:sz w:val="24"/>
        </w:rPr>
      </w:pPr>
    </w:p>
    <w:p w:rsidR="00520FD6" w:rsidRDefault="00476819">
      <w:pPr>
        <w:jc w:val="both"/>
        <w:rPr>
          <w:rFonts w:ascii="Arial" w:hAnsi="Arial" w:cs="Arial"/>
          <w:b w:val="0"/>
          <w:bCs/>
          <w:color w:val="auto"/>
          <w:sz w:val="24"/>
        </w:rPr>
      </w:pPr>
      <w:r>
        <w:rPr>
          <w:rFonts w:ascii="Arial" w:hAnsi="Arial" w:cs="Arial"/>
          <w:b w:val="0"/>
          <w:bCs/>
          <w:color w:val="auto"/>
          <w:sz w:val="24"/>
        </w:rPr>
        <w:t>Podle této vyhlášky jsou strávníci rozděleni do těchto skupin:</w:t>
      </w:r>
    </w:p>
    <w:p w:rsidR="00520FD6" w:rsidRDefault="00476819">
      <w:pPr>
        <w:numPr>
          <w:ilvl w:val="0"/>
          <w:numId w:val="1"/>
        </w:numPr>
        <w:jc w:val="both"/>
        <w:rPr>
          <w:rFonts w:ascii="Arial" w:hAnsi="Arial" w:cs="Arial"/>
          <w:b w:val="0"/>
          <w:bCs/>
          <w:color w:val="auto"/>
          <w:sz w:val="24"/>
        </w:rPr>
      </w:pPr>
      <w:r>
        <w:rPr>
          <w:rFonts w:ascii="Arial" w:hAnsi="Arial" w:cs="Arial"/>
          <w:b w:val="0"/>
          <w:bCs/>
          <w:color w:val="auto"/>
          <w:sz w:val="24"/>
        </w:rPr>
        <w:t>Strávníci do 6 let</w:t>
      </w:r>
    </w:p>
    <w:p w:rsidR="00520FD6" w:rsidRDefault="00476819">
      <w:pPr>
        <w:numPr>
          <w:ilvl w:val="0"/>
          <w:numId w:val="1"/>
        </w:numPr>
        <w:jc w:val="both"/>
        <w:rPr>
          <w:rFonts w:ascii="Arial" w:hAnsi="Arial" w:cs="Arial"/>
          <w:b w:val="0"/>
          <w:bCs/>
          <w:color w:val="auto"/>
          <w:sz w:val="24"/>
        </w:rPr>
      </w:pPr>
      <w:r>
        <w:rPr>
          <w:rFonts w:ascii="Arial" w:hAnsi="Arial" w:cs="Arial"/>
          <w:b w:val="0"/>
          <w:bCs/>
          <w:color w:val="auto"/>
          <w:sz w:val="24"/>
        </w:rPr>
        <w:t>Strávníci 6 – 10 let</w:t>
      </w:r>
    </w:p>
    <w:p w:rsidR="00520FD6" w:rsidRDefault="00476819">
      <w:pPr>
        <w:numPr>
          <w:ilvl w:val="0"/>
          <w:numId w:val="1"/>
        </w:numPr>
        <w:jc w:val="both"/>
        <w:rPr>
          <w:rFonts w:ascii="Arial" w:hAnsi="Arial" w:cs="Arial"/>
          <w:b w:val="0"/>
          <w:bCs/>
          <w:color w:val="auto"/>
          <w:sz w:val="24"/>
        </w:rPr>
      </w:pPr>
      <w:r>
        <w:rPr>
          <w:rFonts w:ascii="Arial" w:hAnsi="Arial" w:cs="Arial"/>
          <w:b w:val="0"/>
          <w:bCs/>
          <w:color w:val="auto"/>
          <w:sz w:val="24"/>
        </w:rPr>
        <w:t>Strávníci 11 – 14 let</w:t>
      </w:r>
    </w:p>
    <w:p w:rsidR="00520FD6" w:rsidRDefault="00476819">
      <w:pPr>
        <w:numPr>
          <w:ilvl w:val="0"/>
          <w:numId w:val="1"/>
        </w:numPr>
        <w:jc w:val="both"/>
        <w:rPr>
          <w:rFonts w:ascii="Arial" w:hAnsi="Arial" w:cs="Arial"/>
          <w:b w:val="0"/>
          <w:bCs/>
          <w:color w:val="auto"/>
          <w:sz w:val="24"/>
        </w:rPr>
      </w:pPr>
      <w:r>
        <w:rPr>
          <w:rFonts w:ascii="Arial" w:hAnsi="Arial" w:cs="Arial"/>
          <w:b w:val="0"/>
          <w:bCs/>
          <w:color w:val="auto"/>
          <w:sz w:val="24"/>
        </w:rPr>
        <w:t>Strávníci 15 a více let</w:t>
      </w:r>
    </w:p>
    <w:p w:rsidR="00520FD6" w:rsidRDefault="00520FD6">
      <w:pPr>
        <w:jc w:val="both"/>
        <w:rPr>
          <w:rFonts w:ascii="Arial" w:hAnsi="Arial" w:cs="Arial"/>
          <w:b w:val="0"/>
          <w:bCs/>
          <w:color w:val="auto"/>
          <w:sz w:val="24"/>
        </w:rPr>
      </w:pPr>
    </w:p>
    <w:p w:rsidR="00520FD6" w:rsidRDefault="00476819">
      <w:pPr>
        <w:jc w:val="both"/>
        <w:rPr>
          <w:rFonts w:ascii="Arial" w:hAnsi="Arial" w:cs="Arial"/>
          <w:b w:val="0"/>
          <w:bCs/>
          <w:color w:val="auto"/>
          <w:sz w:val="24"/>
        </w:rPr>
      </w:pPr>
      <w:r>
        <w:rPr>
          <w:rFonts w:ascii="Arial" w:hAnsi="Arial" w:cs="Arial"/>
          <w:b w:val="0"/>
          <w:bCs/>
          <w:color w:val="auto"/>
          <w:sz w:val="24"/>
        </w:rPr>
        <w:t>Dále je v tom samém odstavci uvedeno:</w:t>
      </w:r>
    </w:p>
    <w:p w:rsidR="00520FD6" w:rsidRDefault="00476819">
      <w:pPr>
        <w:jc w:val="both"/>
        <w:rPr>
          <w:rFonts w:ascii="Arial" w:hAnsi="Arial" w:cs="Arial"/>
          <w:b w:val="0"/>
          <w:bCs/>
          <w:color w:val="auto"/>
          <w:sz w:val="24"/>
        </w:rPr>
      </w:pPr>
      <w:r>
        <w:rPr>
          <w:rFonts w:ascii="Arial" w:hAnsi="Arial" w:cs="Arial"/>
          <w:b w:val="0"/>
          <w:bCs/>
          <w:color w:val="auto"/>
          <w:sz w:val="24"/>
        </w:rPr>
        <w:t>„</w:t>
      </w:r>
      <w:r>
        <w:rPr>
          <w:rFonts w:ascii="Arial" w:hAnsi="Arial" w:cs="Arial"/>
          <w:b w:val="0"/>
          <w:bCs/>
          <w:i/>
          <w:iCs/>
          <w:color w:val="auto"/>
          <w:sz w:val="24"/>
        </w:rPr>
        <w:t xml:space="preserve">Do věkových skupin jsou strávníci zařazováni na dobu </w:t>
      </w:r>
      <w:r>
        <w:rPr>
          <w:rFonts w:ascii="Arial" w:hAnsi="Arial" w:cs="Arial"/>
          <w:i/>
          <w:iCs/>
          <w:color w:val="auto"/>
          <w:sz w:val="24"/>
        </w:rPr>
        <w:t>školního roku</w:t>
      </w:r>
      <w:r>
        <w:rPr>
          <w:rFonts w:ascii="Arial" w:hAnsi="Arial" w:cs="Arial"/>
          <w:b w:val="0"/>
          <w:bCs/>
          <w:i/>
          <w:iCs/>
          <w:color w:val="auto"/>
          <w:sz w:val="24"/>
        </w:rPr>
        <w:t>, ve kterém dosahují věku podle bodu 1 až 4.</w:t>
      </w:r>
      <w:r>
        <w:rPr>
          <w:rFonts w:ascii="Arial" w:hAnsi="Arial" w:cs="Arial"/>
          <w:b w:val="0"/>
          <w:bCs/>
          <w:color w:val="auto"/>
          <w:sz w:val="24"/>
        </w:rPr>
        <w:t>“</w:t>
      </w:r>
    </w:p>
    <w:p w:rsidR="00520FD6" w:rsidRDefault="00520FD6">
      <w:pPr>
        <w:jc w:val="both"/>
        <w:rPr>
          <w:rFonts w:ascii="Arial" w:hAnsi="Arial" w:cs="Arial"/>
          <w:b w:val="0"/>
          <w:bCs/>
          <w:color w:val="auto"/>
          <w:sz w:val="24"/>
        </w:rPr>
      </w:pPr>
    </w:p>
    <w:p w:rsidR="00520FD6" w:rsidRDefault="00476819">
      <w:pPr>
        <w:pStyle w:val="Nadpis1"/>
        <w:jc w:val="both"/>
      </w:pPr>
      <w:r>
        <w:t>Období školního roku</w:t>
      </w:r>
    </w:p>
    <w:p w:rsidR="00520FD6" w:rsidRDefault="00476819">
      <w:pPr>
        <w:jc w:val="both"/>
        <w:rPr>
          <w:rFonts w:ascii="Arial" w:hAnsi="Arial" w:cs="Arial"/>
          <w:b w:val="0"/>
          <w:bCs/>
          <w:color w:val="auto"/>
          <w:sz w:val="24"/>
        </w:rPr>
      </w:pPr>
      <w:r>
        <w:rPr>
          <w:rFonts w:ascii="Arial" w:hAnsi="Arial" w:cs="Arial"/>
          <w:b w:val="0"/>
          <w:bCs/>
          <w:color w:val="auto"/>
          <w:sz w:val="24"/>
        </w:rPr>
        <w:t xml:space="preserve">Období školního roku je definováno </w:t>
      </w:r>
      <w:r>
        <w:rPr>
          <w:rFonts w:ascii="Arial" w:hAnsi="Arial" w:cs="Arial"/>
          <w:color w:val="auto"/>
          <w:sz w:val="24"/>
        </w:rPr>
        <w:t>Zákonem č. 561/2004 Sb. školský zákon, § 24, odstavec 1.</w:t>
      </w:r>
      <w:r>
        <w:rPr>
          <w:rFonts w:ascii="Arial" w:hAnsi="Arial" w:cs="Arial"/>
          <w:b w:val="0"/>
          <w:bCs/>
          <w:color w:val="auto"/>
          <w:sz w:val="24"/>
        </w:rPr>
        <w:t>:</w:t>
      </w:r>
    </w:p>
    <w:p w:rsidR="00520FD6" w:rsidRDefault="00476819">
      <w:pPr>
        <w:jc w:val="both"/>
        <w:rPr>
          <w:rFonts w:ascii="Arial" w:hAnsi="Arial" w:cs="Arial"/>
          <w:b w:val="0"/>
          <w:bCs/>
          <w:color w:val="auto"/>
          <w:sz w:val="24"/>
        </w:rPr>
      </w:pPr>
      <w:r>
        <w:rPr>
          <w:rFonts w:ascii="Arial" w:hAnsi="Arial" w:cs="Arial"/>
          <w:b w:val="0"/>
          <w:bCs/>
          <w:color w:val="auto"/>
          <w:sz w:val="24"/>
        </w:rPr>
        <w:t>„</w:t>
      </w:r>
      <w:r>
        <w:rPr>
          <w:rFonts w:ascii="Arial" w:hAnsi="Arial" w:cs="Arial"/>
          <w:b w:val="0"/>
          <w:bCs/>
          <w:i/>
          <w:iCs/>
          <w:color w:val="auto"/>
          <w:sz w:val="24"/>
        </w:rPr>
        <w:t xml:space="preserve">1) Školní  rok  začíná  1.  září  a  končí  </w:t>
      </w:r>
      <w:r>
        <w:rPr>
          <w:rFonts w:ascii="Arial" w:hAnsi="Arial" w:cs="Arial"/>
          <w:i/>
          <w:iCs/>
          <w:color w:val="auto"/>
          <w:sz w:val="24"/>
        </w:rPr>
        <w:t>31.  srpna</w:t>
      </w:r>
      <w:r>
        <w:rPr>
          <w:rFonts w:ascii="Arial" w:hAnsi="Arial" w:cs="Arial"/>
          <w:b w:val="0"/>
          <w:bCs/>
          <w:i/>
          <w:iCs/>
          <w:color w:val="auto"/>
          <w:sz w:val="24"/>
        </w:rPr>
        <w:t xml:space="preserve">  následujícího kalendářního  roku.  Školní rok se člení na období školního vyučování a období  školních  prázdnin.  Období  školního  vyučování  se  člení  na pololetí. Ve školách se vyučuje v pětidenním vyučovacím týdnu. </w:t>
      </w:r>
      <w:r>
        <w:rPr>
          <w:rFonts w:ascii="Arial" w:hAnsi="Arial" w:cs="Arial"/>
          <w:b w:val="0"/>
          <w:bCs/>
          <w:color w:val="auto"/>
          <w:sz w:val="24"/>
        </w:rPr>
        <w:t>„</w:t>
      </w:r>
    </w:p>
    <w:p w:rsidR="00520FD6" w:rsidRDefault="00520FD6">
      <w:pPr>
        <w:jc w:val="both"/>
        <w:rPr>
          <w:rFonts w:ascii="Arial" w:hAnsi="Arial" w:cs="Arial"/>
          <w:b w:val="0"/>
          <w:bCs/>
          <w:color w:val="auto"/>
          <w:sz w:val="24"/>
        </w:rPr>
      </w:pPr>
    </w:p>
    <w:p w:rsidR="00520FD6" w:rsidRDefault="00476819">
      <w:pPr>
        <w:jc w:val="both"/>
        <w:rPr>
          <w:rFonts w:ascii="Arial" w:hAnsi="Arial" w:cs="Arial"/>
          <w:b w:val="0"/>
          <w:bCs/>
          <w:color w:val="auto"/>
          <w:sz w:val="24"/>
        </w:rPr>
      </w:pPr>
      <w:r>
        <w:rPr>
          <w:rFonts w:ascii="Arial" w:hAnsi="Arial" w:cs="Arial"/>
          <w:b w:val="0"/>
          <w:bCs/>
          <w:color w:val="auto"/>
          <w:sz w:val="24"/>
        </w:rPr>
        <w:t xml:space="preserve">Z výše uvedeného vyplývá, že žák – strávník </w:t>
      </w:r>
      <w:r>
        <w:rPr>
          <w:rFonts w:ascii="Arial" w:hAnsi="Arial" w:cs="Arial"/>
          <w:color w:val="auto"/>
          <w:sz w:val="24"/>
        </w:rPr>
        <w:t>MUSÍ</w:t>
      </w:r>
      <w:r>
        <w:rPr>
          <w:rFonts w:ascii="Arial" w:hAnsi="Arial" w:cs="Arial"/>
          <w:b w:val="0"/>
          <w:bCs/>
          <w:color w:val="auto"/>
          <w:sz w:val="24"/>
        </w:rPr>
        <w:t xml:space="preserve"> být ze zákona zařazen do vyšší cenové skupiny, i kdyby dosáhl příslušného vyššího věku až 31.8. následujícího kalendářního roku. </w:t>
      </w:r>
    </w:p>
    <w:p w:rsidR="00520FD6" w:rsidRDefault="00520FD6">
      <w:pPr>
        <w:jc w:val="both"/>
        <w:rPr>
          <w:rFonts w:ascii="Arial" w:hAnsi="Arial" w:cs="Arial"/>
          <w:b w:val="0"/>
          <w:bCs/>
          <w:color w:val="auto"/>
          <w:sz w:val="24"/>
        </w:rPr>
      </w:pPr>
    </w:p>
    <w:p w:rsidR="00520FD6" w:rsidRDefault="00520FD6">
      <w:pPr>
        <w:jc w:val="both"/>
        <w:rPr>
          <w:rFonts w:ascii="Arial" w:hAnsi="Arial" w:cs="Arial"/>
          <w:b w:val="0"/>
          <w:bCs/>
          <w:color w:val="auto"/>
          <w:sz w:val="24"/>
        </w:rPr>
      </w:pPr>
    </w:p>
    <w:p w:rsidR="00AE2532" w:rsidRDefault="00476819">
      <w:pPr>
        <w:jc w:val="both"/>
        <w:rPr>
          <w:rFonts w:ascii="Arial" w:hAnsi="Arial" w:cs="Arial"/>
          <w:b w:val="0"/>
          <w:bCs/>
          <w:i/>
          <w:iCs/>
          <w:color w:val="auto"/>
          <w:sz w:val="24"/>
        </w:rPr>
      </w:pPr>
      <w:r>
        <w:rPr>
          <w:rFonts w:ascii="Arial" w:hAnsi="Arial" w:cs="Arial"/>
          <w:b w:val="0"/>
          <w:bCs/>
          <w:color w:val="auto"/>
          <w:sz w:val="24"/>
        </w:rPr>
        <w:tab/>
      </w:r>
      <w:r>
        <w:rPr>
          <w:rFonts w:ascii="Arial" w:hAnsi="Arial" w:cs="Arial"/>
          <w:b w:val="0"/>
          <w:bCs/>
          <w:color w:val="auto"/>
          <w:sz w:val="24"/>
        </w:rPr>
        <w:tab/>
      </w:r>
      <w:r>
        <w:rPr>
          <w:rFonts w:ascii="Arial" w:hAnsi="Arial" w:cs="Arial"/>
          <w:b w:val="0"/>
          <w:bCs/>
          <w:color w:val="auto"/>
          <w:sz w:val="24"/>
        </w:rPr>
        <w:tab/>
      </w:r>
      <w:r>
        <w:rPr>
          <w:rFonts w:ascii="Arial" w:hAnsi="Arial" w:cs="Arial"/>
          <w:b w:val="0"/>
          <w:bCs/>
          <w:color w:val="auto"/>
          <w:sz w:val="24"/>
        </w:rPr>
        <w:tab/>
      </w:r>
      <w:r>
        <w:rPr>
          <w:rFonts w:ascii="Arial" w:hAnsi="Arial" w:cs="Arial"/>
          <w:b w:val="0"/>
          <w:bCs/>
          <w:color w:val="auto"/>
          <w:sz w:val="24"/>
        </w:rPr>
        <w:tab/>
      </w:r>
      <w:r>
        <w:rPr>
          <w:rFonts w:ascii="Arial" w:hAnsi="Arial" w:cs="Arial"/>
          <w:b w:val="0"/>
          <w:bCs/>
          <w:color w:val="auto"/>
          <w:sz w:val="24"/>
        </w:rPr>
        <w:tab/>
      </w:r>
      <w:r>
        <w:rPr>
          <w:rFonts w:ascii="Arial" w:hAnsi="Arial" w:cs="Arial"/>
          <w:b w:val="0"/>
          <w:bCs/>
          <w:color w:val="auto"/>
          <w:sz w:val="24"/>
        </w:rPr>
        <w:tab/>
      </w:r>
    </w:p>
    <w:sectPr w:rsidR="00AE2532" w:rsidSect="00520F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42193"/>
    <w:multiLevelType w:val="hybridMultilevel"/>
    <w:tmpl w:val="AAE8FB16"/>
    <w:lvl w:ilvl="0" w:tplc="00DC364E">
      <w:start w:val="1"/>
      <w:numFmt w:val="decimal"/>
      <w:lvlText w:val="%1."/>
      <w:lvlJc w:val="left"/>
      <w:pPr>
        <w:tabs>
          <w:tab w:val="num" w:pos="1068"/>
        </w:tabs>
        <w:ind w:left="106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AE2532"/>
    <w:rsid w:val="00476819"/>
    <w:rsid w:val="00520FD6"/>
    <w:rsid w:val="00AE2532"/>
    <w:rsid w:val="00E972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0FD6"/>
    <w:rPr>
      <w:rFonts w:ascii="Verdana" w:hAnsi="Verdana"/>
      <w:b/>
      <w:color w:val="333399"/>
      <w:sz w:val="32"/>
      <w:szCs w:val="32"/>
    </w:rPr>
  </w:style>
  <w:style w:type="paragraph" w:styleId="Nadpis1">
    <w:name w:val="heading 1"/>
    <w:basedOn w:val="Normln"/>
    <w:next w:val="Normln"/>
    <w:qFormat/>
    <w:rsid w:val="00520FD6"/>
    <w:pPr>
      <w:keepNext/>
      <w:outlineLvl w:val="0"/>
    </w:pPr>
    <w:rPr>
      <w:rFonts w:ascii="Arial" w:hAnsi="Arial" w:cs="Arial"/>
      <w:color w:val="auto"/>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196</Words>
  <Characters>1157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Vážení rodiče,</vt:lpstr>
    </vt:vector>
  </TitlesOfParts>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Vážení rodiče,</dc:title>
  <dc:creator>hp</dc:creator>
  <cp:lastModifiedBy>hp</cp:lastModifiedBy>
  <cp:revision>5</cp:revision>
  <dcterms:created xsi:type="dcterms:W3CDTF">2017-12-04T13:22:00Z</dcterms:created>
  <dcterms:modified xsi:type="dcterms:W3CDTF">2017-12-04T13:31:00Z</dcterms:modified>
</cp:coreProperties>
</file>